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FF0000"/>
          <w:spacing w:val="0"/>
          <w:w w:val="100"/>
          <w:kern w:val="0"/>
          <w:sz w:val="80"/>
          <w:szCs w:val="80"/>
        </w:rPr>
      </w:pPr>
      <w:r>
        <w:rPr>
          <w:rFonts w:ascii="方正小标宋简体" w:hAnsi="宋体" w:eastAsia="方正小标宋简体" w:cs="宋体"/>
          <w:color w:val="FF0000"/>
          <w:spacing w:val="0"/>
          <w:w w:val="100"/>
          <w:sz w:val="80"/>
          <w:szCs w:val="80"/>
        </w:rPr>
        <mc:AlternateContent>
          <mc:Choice Requires="wps">
            <w:drawing>
              <wp:anchor distT="0" distB="0" distL="114300" distR="114300" simplePos="0" relativeHeight="251658240" behindDoc="0" locked="0" layoutInCell="1" allowOverlap="1">
                <wp:simplePos x="0" y="0"/>
                <wp:positionH relativeFrom="column">
                  <wp:posOffset>-113030</wp:posOffset>
                </wp:positionH>
                <wp:positionV relativeFrom="paragraph">
                  <wp:posOffset>702945</wp:posOffset>
                </wp:positionV>
                <wp:extent cx="5810885" cy="18415"/>
                <wp:effectExtent l="0" t="31750" r="18415" b="45085"/>
                <wp:wrapNone/>
                <wp:docPr id="1" name="直接连接符 1"/>
                <wp:cNvGraphicFramePr/>
                <a:graphic xmlns:a="http://schemas.openxmlformats.org/drawingml/2006/main">
                  <a:graphicData uri="http://schemas.microsoft.com/office/word/2010/wordprocessingShape">
                    <wps:wsp>
                      <wps:cNvCnPr/>
                      <wps:spPr>
                        <a:xfrm rot="10800000" flipV="1">
                          <a:off x="0" y="0"/>
                          <a:ext cx="5810885" cy="18415"/>
                        </a:xfrm>
                        <a:prstGeom prst="line">
                          <a:avLst/>
                        </a:prstGeom>
                        <a:ln w="6350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8.9pt;margin-top:55.35pt;height:1.45pt;width:457.55pt;rotation:11796480f;z-index:251658240;mso-width-relative:page;mso-height-relative:page;" filled="f" stroked="t" coordsize="21600,21600" o:gfxdata="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DtS3zWAAAACwEAAA8AAAAAAAAAAQAgAAAA&#10;IgAAAGRycy9kb3ducmV2LnhtbFBLAQIUABQAAAAIAIdO4kCGaIycDQIAAAgEAAAOAAAAAAAAAAEA&#10;IAAAACUBAABkcnMvZTJvRG9jLnhtbFBLBQYAAAAABgAGAFkBAACkBQAAAAA=&#10;">
                <v:fill on="f" focussize="0,0"/>
                <v:stroke weight="5pt" color="#FF0000" linestyle="thickThin" joinstyle="round"/>
                <v:imagedata o:title=""/>
                <o:lock v:ext="edit" aspectratio="f"/>
              </v:line>
            </w:pict>
          </mc:Fallback>
        </mc:AlternateContent>
      </w:r>
      <w:r>
        <w:rPr>
          <w:rFonts w:hint="eastAsia" w:ascii="方正小标宋简体" w:hAnsi="宋体" w:eastAsia="方正小标宋简体" w:cs="宋体"/>
          <w:color w:val="FF0000"/>
          <w:spacing w:val="0"/>
          <w:w w:val="100"/>
          <w:sz w:val="80"/>
          <w:szCs w:val="80"/>
        </w:rPr>
        <w:t>安康市行政审批服务局</w:t>
      </w:r>
    </w:p>
    <w:p>
      <w:pPr>
        <w:pStyle w:val="4"/>
        <w:keepNext w:val="0"/>
        <w:keepLines w:val="0"/>
        <w:pageBreakBefore w:val="0"/>
        <w:widowControl/>
        <w:shd w:val="clear" w:color="auto" w:fill="FFFFFF"/>
        <w:kinsoku/>
        <w:wordWrap/>
        <w:overflowPunct/>
        <w:topLinePunct w:val="0"/>
        <w:autoSpaceDE/>
        <w:autoSpaceDN/>
        <w:bidi w:val="0"/>
        <w:snapToGrid w:val="0"/>
        <w:spacing w:line="560" w:lineRule="exact"/>
        <w:jc w:val="righ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安行审函〔20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号</w:t>
      </w:r>
    </w:p>
    <w:p>
      <w:pPr>
        <w:pStyle w:val="4"/>
        <w:keepNext w:val="0"/>
        <w:keepLines w:val="0"/>
        <w:pageBreakBefore w:val="0"/>
        <w:widowControl/>
        <w:shd w:val="clear" w:color="auto" w:fill="FFFFFF"/>
        <w:kinsoku/>
        <w:wordWrap/>
        <w:overflowPunct/>
        <w:topLinePunct w:val="0"/>
        <w:autoSpaceDE/>
        <w:autoSpaceDN/>
        <w:bidi w:val="0"/>
        <w:snapToGrid w:val="0"/>
        <w:spacing w:line="560" w:lineRule="exact"/>
        <w:jc w:val="right"/>
        <w:textAlignment w:val="auto"/>
        <w:rPr>
          <w:rFonts w:hint="eastAsia" w:ascii="仿宋_GB2312" w:hAnsi="仿宋_GB2312" w:eastAsia="仿宋_GB2312" w:cs="仿宋_GB2312"/>
          <w:color w:val="000000"/>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安康市行政审批服务局</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关于报送</w:t>
      </w:r>
      <w:r>
        <w:rPr>
          <w:rFonts w:hint="eastAsia" w:ascii="方正小标宋简体" w:hAnsi="方正小标宋简体" w:eastAsia="方正小标宋简体" w:cs="方正小标宋简体"/>
          <w:sz w:val="44"/>
          <w:szCs w:val="44"/>
          <w:lang w:val="en-US" w:eastAsia="zh-CN"/>
        </w:rPr>
        <w:t>2020年政府信息公开年度报告的函</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市政府办公室：</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现将我局《2020年政府信息公开年度报告》报来，请收悉。</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hint="default" w:ascii="仿宋_GB2312" w:hAnsi="仿宋_GB2312" w:eastAsia="仿宋_GB2312" w:cs="仿宋_GB2312"/>
          <w:sz w:val="32"/>
          <w:szCs w:val="32"/>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hint="default" w:ascii="仿宋_GB2312" w:hAnsi="仿宋_GB2312" w:eastAsia="仿宋_GB2312" w:cs="仿宋_GB2312"/>
          <w:sz w:val="32"/>
          <w:szCs w:val="32"/>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4480" w:firstLineChars="14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安康市行政审批服务局</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4800" w:firstLineChars="15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2021年1月15日</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方正小标宋简体" w:hAnsi="方正小标宋简体" w:eastAsia="方正小标宋简体" w:cs="方正小标宋简体"/>
          <w:sz w:val="44"/>
          <w:szCs w:val="44"/>
        </w:rPr>
      </w:pP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方正小标宋简体" w:hAnsi="方正小标宋简体" w:eastAsia="方正小标宋简体" w:cs="方正小标宋简体"/>
          <w:sz w:val="44"/>
          <w:szCs w:val="44"/>
        </w:rPr>
      </w:pP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方正小标宋简体" w:hAnsi="方正小标宋简体" w:eastAsia="方正小标宋简体" w:cs="方正小标宋简体"/>
          <w:sz w:val="44"/>
          <w:szCs w:val="44"/>
        </w:rPr>
      </w:pP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方正小标宋简体" w:hAnsi="方正小标宋简体" w:eastAsia="方正小标宋简体" w:cs="方正小标宋简体"/>
          <w:sz w:val="44"/>
          <w:szCs w:val="44"/>
        </w:rPr>
      </w:pP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方正小标宋简体" w:hAnsi="方正小标宋简体" w:eastAsia="方正小标宋简体" w:cs="方正小标宋简体"/>
          <w:sz w:val="44"/>
          <w:szCs w:val="44"/>
        </w:rPr>
      </w:pP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方正小标宋简体" w:hAnsi="方正小标宋简体" w:eastAsia="方正小标宋简体" w:cs="方正小标宋简体"/>
          <w:sz w:val="44"/>
          <w:szCs w:val="44"/>
        </w:rPr>
      </w:pP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方正小标宋简体" w:hAnsi="方正小标宋简体" w:eastAsia="方正小标宋简体" w:cs="方正小标宋简体"/>
          <w:sz w:val="44"/>
          <w:szCs w:val="44"/>
        </w:rPr>
      </w:pPr>
      <w:r>
        <w:rPr>
          <w:rFonts w:ascii="方正小标宋简体" w:hAnsi="宋体" w:eastAsia="方正小标宋简体" w:cs="宋体"/>
          <w:color w:val="FF0000"/>
          <w:spacing w:val="0"/>
          <w:w w:val="100"/>
          <w:sz w:val="80"/>
          <w:szCs w:val="80"/>
        </w:rPr>
        <mc:AlternateContent>
          <mc:Choice Requires="wps">
            <w:drawing>
              <wp:anchor distT="0" distB="0" distL="114300" distR="114300" simplePos="0" relativeHeight="251659264" behindDoc="0" locked="0" layoutInCell="1" allowOverlap="1">
                <wp:simplePos x="0" y="0"/>
                <wp:positionH relativeFrom="column">
                  <wp:posOffset>-103505</wp:posOffset>
                </wp:positionH>
                <wp:positionV relativeFrom="paragraph">
                  <wp:posOffset>548640</wp:posOffset>
                </wp:positionV>
                <wp:extent cx="5810885" cy="18415"/>
                <wp:effectExtent l="0" t="31750" r="18415" b="45085"/>
                <wp:wrapNone/>
                <wp:docPr id="2" name="直接连接符 2"/>
                <wp:cNvGraphicFramePr/>
                <a:graphic xmlns:a="http://schemas.openxmlformats.org/drawingml/2006/main">
                  <a:graphicData uri="http://schemas.microsoft.com/office/word/2010/wordprocessingShape">
                    <wps:wsp>
                      <wps:cNvCnPr/>
                      <wps:spPr>
                        <a:xfrm rot="10800000" flipV="1">
                          <a:off x="0" y="0"/>
                          <a:ext cx="5810885" cy="18415"/>
                        </a:xfrm>
                        <a:prstGeom prst="line">
                          <a:avLst/>
                        </a:prstGeom>
                        <a:ln w="6350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8.15pt;margin-top:43.2pt;height:1.45pt;width:457.55pt;rotation:11796480f;z-index:251659264;mso-width-relative:page;mso-height-relative:page;" filled="f" stroked="t" coordsize="21600,21600" o:gfxdata="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k1AnDZAAAACQEAAA8AAAAAAAAAAQAg&#10;AAAAIgAAAGRycy9kb3ducmV2LnhtbFBLAQIUABQAAAAIAIdO4kBywdxsDQIAAAgEAAAOAAAAAAAA&#10;AAEAIAAAACgBAABkcnMvZTJvRG9jLnhtbFBLBQYAAAAABgAGAFkBAACnBQAAAAA=&#10;">
                <v:fill on="f" focussize="0,0"/>
                <v:stroke weight="5pt" color="#FF0000" linestyle="thinThick" joinstyle="round"/>
                <v:imagedata o:title=""/>
                <o:lock v:ext="edit" aspectratio="f"/>
              </v:line>
            </w:pict>
          </mc:Fallback>
        </mc:AlternateConten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方正小标宋简体" w:hAnsi="方正小标宋简体" w:eastAsia="方正小标宋简体" w:cs="方正小标宋简体"/>
          <w:sz w:val="44"/>
          <w:szCs w:val="44"/>
        </w:rPr>
        <w:sectPr>
          <w:pgSz w:w="11906" w:h="16838"/>
          <w:pgMar w:top="2098" w:right="1474" w:bottom="1984" w:left="1587" w:header="708" w:footer="709" w:gutter="0"/>
          <w:pgNumType w:fmt="numberInDash"/>
          <w:cols w:space="0" w:num="1"/>
          <w:rtlGutter w:val="0"/>
          <w:docGrid w:linePitch="360" w:charSpace="0"/>
        </w:sectPr>
      </w:pP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安康市行政审批服务局</w:t>
      </w:r>
      <w:r>
        <w:rPr>
          <w:rFonts w:hint="eastAsia" w:ascii="方正小标宋简体" w:hAnsi="方正小标宋简体" w:eastAsia="方正小标宋简体" w:cs="方正小标宋简体"/>
          <w:sz w:val="44"/>
          <w:szCs w:val="44"/>
          <w:lang w:val="en-US" w:eastAsia="zh-CN"/>
        </w:rPr>
        <w:t>2020</w:t>
      </w:r>
      <w:r>
        <w:rPr>
          <w:rFonts w:hint="eastAsia" w:ascii="方正小标宋简体" w:hAnsi="方正小标宋简体" w:eastAsia="方正小标宋简体" w:cs="方正小标宋简体"/>
          <w:sz w:val="44"/>
          <w:szCs w:val="44"/>
        </w:rPr>
        <w:t>年</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政府信息公开</w:t>
      </w:r>
      <w:r>
        <w:rPr>
          <w:rFonts w:hint="eastAsia" w:ascii="方正小标宋简体" w:hAnsi="方正小标宋简体" w:eastAsia="方正小标宋简体" w:cs="方正小标宋简体"/>
          <w:sz w:val="44"/>
          <w:szCs w:val="44"/>
          <w:lang w:eastAsia="zh-CN"/>
        </w:rPr>
        <w:t>年度报告</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shd w:val="clear" w:color="auto" w:fill="FFFFFF"/>
        <w:kinsoku/>
        <w:wordWrap/>
        <w:overflowPunct/>
        <w:topLinePunct w:val="0"/>
        <w:autoSpaceDE/>
        <w:autoSpaceDN/>
        <w:bidi w:val="0"/>
        <w:snapToGrid w:val="0"/>
        <w:spacing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报告是根据《中华人民共和国政府信息公开条例》《国务院办公厅政府信息与政务公开办公室关于政府信息公开工作年度报告有关事项的通知》精神及省、市政府信息公开工作年度报告工作安排部署要求，特向社会公布安康市行政审批局</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年度政府信息公开工作年度报告。包括</w:t>
      </w:r>
      <w:r>
        <w:rPr>
          <w:rFonts w:hint="eastAsia" w:ascii="仿宋_GB2312" w:hAnsi="仿宋_GB2312" w:eastAsia="仿宋_GB2312" w:cs="仿宋_GB2312"/>
          <w:sz w:val="32"/>
          <w:szCs w:val="32"/>
          <w:lang w:val="en-US" w:eastAsia="zh-CN"/>
        </w:rPr>
        <w:t>总体情况</w:t>
      </w:r>
      <w:r>
        <w:rPr>
          <w:rFonts w:hint="eastAsia" w:ascii="仿宋_GB2312" w:hAnsi="仿宋_GB2312" w:eastAsia="仿宋_GB2312" w:cs="仿宋_GB2312"/>
          <w:sz w:val="32"/>
          <w:szCs w:val="32"/>
        </w:rPr>
        <w:t>、主动公开政府信息情况、依申请公开政府信息情况、因政府信息公开提起的行政复议和行政诉讼情况、存在问题及改进措施等。本年度报告中使用的统计数据期限为</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年1月1日至12月31日。</w:t>
      </w:r>
    </w:p>
    <w:p>
      <w:pPr>
        <w:keepNext w:val="0"/>
        <w:keepLines w:val="0"/>
        <w:pageBreakBefore w:val="0"/>
        <w:widowControl/>
        <w:shd w:val="clear" w:color="auto" w:fill="FFFFFF"/>
        <w:kinsoku/>
        <w:wordWrap/>
        <w:overflowPunct/>
        <w:topLinePunct w:val="0"/>
        <w:autoSpaceDE/>
        <w:autoSpaceDN/>
        <w:bidi w:val="0"/>
        <w:snapToGrid w:val="0"/>
        <w:spacing w:beforeAutospacing="0" w:after="0" w:afterAutospacing="0"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rPr>
        <w:t>一、</w:t>
      </w:r>
      <w:r>
        <w:rPr>
          <w:rFonts w:hint="eastAsia" w:ascii="黑体" w:hAnsi="黑体" w:eastAsia="黑体" w:cs="黑体"/>
          <w:sz w:val="32"/>
          <w:szCs w:val="32"/>
          <w:lang w:val="en-US" w:eastAsia="zh-CN"/>
        </w:rPr>
        <w:t>总体情况</w:t>
      </w:r>
    </w:p>
    <w:p>
      <w:pPr>
        <w:keepNext w:val="0"/>
        <w:keepLines w:val="0"/>
        <w:pageBreakBefore w:val="0"/>
        <w:widowControl/>
        <w:shd w:val="clear" w:color="auto" w:fill="FFFFFF"/>
        <w:kinsoku/>
        <w:wordWrap/>
        <w:overflowPunct/>
        <w:topLinePunct w:val="0"/>
        <w:autoSpaceDE/>
        <w:autoSpaceDN/>
        <w:bidi w:val="0"/>
        <w:snapToGrid w:val="0"/>
        <w:spacing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市行政审批局以《中华人民共和国政府信息公开条例》为主线，深入落实党中央国务院、省委省政府和市委市政府关于全面推进政务公开工作的系列部署，在落实政务公开化、制度化和规范化方面做了大量工作，取得了较好成效，为保障各项工作健康、稳定、持续发展发挥了重要作用。</w:t>
      </w:r>
    </w:p>
    <w:p>
      <w:pPr>
        <w:keepNext w:val="0"/>
        <w:keepLines w:val="0"/>
        <w:pageBreakBefore w:val="0"/>
        <w:widowControl/>
        <w:numPr>
          <w:ilvl w:val="0"/>
          <w:numId w:val="1"/>
        </w:numPr>
        <w:shd w:val="clear" w:color="auto" w:fill="FFFFFF"/>
        <w:kinsoku/>
        <w:wordWrap/>
        <w:overflowPunct/>
        <w:topLinePunct w:val="0"/>
        <w:autoSpaceDE/>
        <w:autoSpaceDN/>
        <w:bidi w:val="0"/>
        <w:snapToGrid w:val="0"/>
        <w:spacing w:beforeAutospacing="0" w:after="0" w:afterAutospacing="0" w:line="560" w:lineRule="exact"/>
        <w:ind w:firstLine="643" w:firstLineChars="200"/>
        <w:jc w:val="both"/>
        <w:textAlignment w:val="auto"/>
        <w:rPr>
          <w:rFonts w:hint="eastAsia" w:ascii="仿宋_GB2312" w:hAnsi="宋体" w:eastAsia="仿宋_GB2312" w:cs="宋体"/>
          <w:sz w:val="32"/>
          <w:szCs w:val="32"/>
          <w:lang w:eastAsia="zh-CN"/>
        </w:rPr>
      </w:pPr>
      <w:r>
        <w:rPr>
          <w:rFonts w:hint="eastAsia" w:ascii="楷体_GB2312" w:hAnsi="楷体_GB2312" w:eastAsia="楷体_GB2312" w:cs="楷体_GB2312"/>
          <w:b/>
          <w:bCs/>
          <w:sz w:val="32"/>
          <w:szCs w:val="32"/>
          <w:lang w:eastAsia="zh-CN"/>
        </w:rPr>
        <w:t>主动公开情况</w:t>
      </w:r>
      <w:r>
        <w:rPr>
          <w:rFonts w:hint="eastAsia" w:ascii="楷体_GB2312" w:hAnsi="楷体_GB2312" w:eastAsia="楷体_GB2312" w:cs="楷体_GB2312"/>
          <w:b/>
          <w:bCs/>
          <w:sz w:val="32"/>
          <w:szCs w:val="32"/>
        </w:rPr>
        <w:t>。</w:t>
      </w:r>
      <w:r>
        <w:rPr>
          <w:rFonts w:hint="eastAsia" w:ascii="仿宋_GB2312" w:hAnsi="仿宋_GB2312" w:eastAsia="仿宋_GB2312" w:cs="仿宋_GB2312"/>
          <w:b/>
          <w:i w:val="0"/>
          <w:caps w:val="0"/>
          <w:color w:val="2B2B2B"/>
          <w:spacing w:val="0"/>
          <w:sz w:val="32"/>
          <w:szCs w:val="32"/>
          <w:lang w:eastAsia="zh-CN"/>
        </w:rPr>
        <w:t>一是</w:t>
      </w:r>
      <w:r>
        <w:rPr>
          <w:rFonts w:hint="eastAsia" w:ascii="仿宋_GB2312" w:hAnsi="仿宋_GB2312" w:eastAsia="仿宋_GB2312" w:cs="仿宋_GB2312"/>
          <w:sz w:val="32"/>
          <w:szCs w:val="32"/>
          <w:lang w:eastAsia="zh-CN"/>
        </w:rPr>
        <w:t>推进权力清单和责任清单公开。我局按照权责一致的原则，逐一厘清了与行政职权相对应的责任事项，建立了行政许可事项清单。公开了本部门行政许可职权57类。二</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网站</w:t>
      </w:r>
      <w:r>
        <w:rPr>
          <w:rFonts w:hint="eastAsia" w:ascii="仿宋_GB2312" w:hAnsi="仿宋_GB2312" w:eastAsia="仿宋_GB2312" w:cs="仿宋_GB2312"/>
          <w:sz w:val="32"/>
          <w:szCs w:val="32"/>
        </w:rPr>
        <w:t>上开设了信息公开指南、信息公开目录、政务公开专栏等，将我局职能范围的政策法规、办事指南、组织机构等信息对外公布；通过政务公开专栏等多种形式，将各项行政办理事项的办事依据、办事职责、办事程序、办事标准、办事时限、办事结果广泛公开，不断加大政务公开力度。</w:t>
      </w:r>
      <w:r>
        <w:rPr>
          <w:rFonts w:hint="eastAsia" w:ascii="仿宋_GB2312" w:hAnsi="仿宋_GB2312" w:eastAsia="仿宋_GB2312" w:cs="仿宋_GB2312"/>
          <w:color w:val="auto"/>
          <w:sz w:val="32"/>
          <w:szCs w:val="32"/>
          <w:lang w:val="en-US" w:eastAsia="zh-CN"/>
        </w:rPr>
        <w:t>2020年门户网站及微信公众号全年累计发布信息1204条，其中局门户网站共计发布信息627条，其中发布工作动态339条，信息公开280条，概况类信息8条，办结咨询投诉类信息30条；微信公众号（安康政务微平台）共计发布信息577条。</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lang w:val="en-US" w:eastAsia="zh-CN"/>
        </w:rPr>
        <w:t>按照国家行政许可、行政处罚“双公示”要求，向社会公示行政许可信息5113项，其他对外管理服务事项信息1373项。</w:t>
      </w:r>
      <w:r>
        <w:rPr>
          <w:rFonts w:hint="eastAsia" w:ascii="仿宋_GB2312" w:hAnsi="仿宋_GB2312" w:eastAsia="仿宋_GB2312" w:cs="仿宋_GB2312"/>
          <w:b/>
          <w:bCs/>
          <w:color w:val="auto"/>
          <w:sz w:val="32"/>
          <w:szCs w:val="32"/>
          <w:lang w:val="en-US" w:eastAsia="zh-CN"/>
        </w:rPr>
        <w:t>四是</w:t>
      </w:r>
      <w:r>
        <w:rPr>
          <w:rFonts w:hint="eastAsia" w:ascii="仿宋_GB2312" w:hAnsi="仿宋_GB2312" w:eastAsia="仿宋_GB2312" w:cs="仿宋_GB2312"/>
          <w:color w:val="auto"/>
          <w:sz w:val="32"/>
          <w:szCs w:val="32"/>
          <w:lang w:val="en-US" w:eastAsia="zh-CN"/>
        </w:rPr>
        <w:t>积极回应社会关切。</w:t>
      </w:r>
      <w:r>
        <w:rPr>
          <w:rFonts w:hint="eastAsia" w:ascii="仿宋_GB2312" w:hAnsi="仿宋_GB2312" w:eastAsia="仿宋_GB2312" w:cs="仿宋_GB2312"/>
          <w:sz w:val="32"/>
          <w:szCs w:val="32"/>
          <w:lang w:val="en-US" w:eastAsia="zh-CN"/>
        </w:rPr>
        <w:t>12345平台共收到群众来电来信221903件，接通212542件，接通率95.78%。其中，话务员当场解答161916件，形成任务工单50626件，按期办结50522件，按期办结率99.79%，群众满意率90.63%。共开展市（县局）长接话活动35期，共接听群众来电376件，现场解答137件，形成工单243件，</w:t>
      </w:r>
      <w:r>
        <w:rPr>
          <w:rFonts w:hint="eastAsia" w:ascii="仿宋_GB2312" w:hAnsi="宋体" w:eastAsia="仿宋_GB2312" w:cs="宋体"/>
          <w:sz w:val="32"/>
          <w:szCs w:val="32"/>
        </w:rPr>
        <w:t>群众满意率达99%以上</w:t>
      </w:r>
      <w:r>
        <w:rPr>
          <w:rFonts w:hint="eastAsia" w:ascii="仿宋_GB2312" w:hAnsi="宋体" w:eastAsia="仿宋_GB2312" w:cs="宋体"/>
          <w:sz w:val="32"/>
          <w:szCs w:val="32"/>
          <w:lang w:eastAsia="zh-CN"/>
        </w:rPr>
        <w:t>。</w:t>
      </w:r>
      <w:r>
        <w:rPr>
          <w:rFonts w:hint="eastAsia" w:ascii="仿宋_GB2312" w:hAnsi="宋体" w:eastAsia="仿宋_GB2312" w:cs="宋体"/>
          <w:b/>
          <w:bCs/>
          <w:sz w:val="32"/>
          <w:szCs w:val="32"/>
          <w:lang w:eastAsia="zh-CN"/>
        </w:rPr>
        <w:t>五是</w:t>
      </w:r>
      <w:r>
        <w:rPr>
          <w:rFonts w:hint="eastAsia" w:ascii="仿宋_GB2312" w:hAnsi="宋体" w:eastAsia="仿宋_GB2312" w:cs="宋体"/>
          <w:sz w:val="32"/>
          <w:szCs w:val="32"/>
          <w:lang w:eastAsia="zh-CN"/>
        </w:rPr>
        <w:t>加强政民互动。紧扣企业群众关心关切关注的热点难点堵点问题，邀请市人大代表、市政协委员以及各行各业干部职工和市民代表参加市民进大厅活动。全年开展了9次“市民进大厅、服务零距离”活动，密切了政府与企业群众的联系，收到了预期良好效果。</w:t>
      </w:r>
    </w:p>
    <w:p>
      <w:pPr>
        <w:keepNext w:val="0"/>
        <w:keepLines w:val="0"/>
        <w:pageBreakBefore w:val="0"/>
        <w:widowControl/>
        <w:numPr>
          <w:ilvl w:val="0"/>
          <w:numId w:val="0"/>
        </w:numPr>
        <w:shd w:val="clear" w:color="auto" w:fill="FFFFFF"/>
        <w:kinsoku/>
        <w:wordWrap/>
        <w:overflowPunct/>
        <w:topLinePunct w:val="0"/>
        <w:autoSpaceDE/>
        <w:autoSpaceDN/>
        <w:bidi w:val="0"/>
        <w:snapToGrid w:val="0"/>
        <w:spacing w:beforeAutospacing="0" w:after="0" w:afterAutospacing="0" w:line="560" w:lineRule="exact"/>
        <w:jc w:val="both"/>
        <w:textAlignment w:val="auto"/>
        <w:rPr>
          <w:rFonts w:hint="eastAsia" w:ascii="仿宋_GB2312" w:hAnsi="宋体" w:eastAsia="仿宋_GB2312" w:cs="宋体"/>
          <w:sz w:val="32"/>
          <w:szCs w:val="32"/>
          <w:lang w:eastAsia="zh-CN"/>
        </w:rPr>
      </w:pPr>
    </w:p>
    <w:p>
      <w:pPr>
        <w:keepNext w:val="0"/>
        <w:keepLines w:val="0"/>
        <w:pageBreakBefore w:val="0"/>
        <w:widowControl/>
        <w:numPr>
          <w:ilvl w:val="0"/>
          <w:numId w:val="0"/>
        </w:numPr>
        <w:shd w:val="clear" w:color="auto" w:fill="FFFFFF"/>
        <w:kinsoku/>
        <w:wordWrap/>
        <w:overflowPunct/>
        <w:topLinePunct w:val="0"/>
        <w:autoSpaceDE/>
        <w:autoSpaceDN/>
        <w:bidi w:val="0"/>
        <w:snapToGrid w:val="0"/>
        <w:spacing w:beforeAutospacing="0" w:after="0" w:afterAutospacing="0"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）依申请公开情况。</w:t>
      </w:r>
      <w:r>
        <w:rPr>
          <w:rFonts w:hint="eastAsia" w:ascii="仿宋_GB2312" w:hAnsi="仿宋_GB2312" w:eastAsia="仿宋_GB2312" w:cs="仿宋_GB2312"/>
          <w:color w:val="auto"/>
          <w:sz w:val="32"/>
          <w:szCs w:val="32"/>
          <w:lang w:eastAsia="zh-CN"/>
        </w:rPr>
        <w:t>我局开通传真、信函、电子邮件等多种申请渠道，按照有关规定，在收到申请之日起</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lang w:eastAsia="zh-CN"/>
        </w:rPr>
        <w:t>个工作日内予以答复或者提供政务信息。</w:t>
      </w:r>
      <w:r>
        <w:rPr>
          <w:rFonts w:hint="eastAsia" w:ascii="仿宋_GB2312" w:hAnsi="仿宋_GB2312" w:eastAsia="仿宋_GB2312" w:cs="仿宋_GB2312"/>
          <w:color w:val="auto"/>
          <w:sz w:val="32"/>
          <w:szCs w:val="32"/>
          <w:lang w:val="en-US" w:eastAsia="zh-CN"/>
        </w:rPr>
        <w:t>2020年度我局共受理0件依申请公开。</w:t>
      </w:r>
    </w:p>
    <w:p>
      <w:pPr>
        <w:keepNext w:val="0"/>
        <w:keepLines w:val="0"/>
        <w:pageBreakBefore w:val="0"/>
        <w:widowControl/>
        <w:numPr>
          <w:ilvl w:val="0"/>
          <w:numId w:val="0"/>
        </w:numPr>
        <w:shd w:val="clear" w:color="auto" w:fill="FFFFFF"/>
        <w:kinsoku/>
        <w:wordWrap/>
        <w:overflowPunct/>
        <w:topLinePunct w:val="0"/>
        <w:autoSpaceDE/>
        <w:autoSpaceDN/>
        <w:bidi w:val="0"/>
        <w:snapToGrid w:val="0"/>
        <w:spacing w:beforeAutospacing="0" w:after="0" w:afterAutospacing="0" w:line="560" w:lineRule="exact"/>
        <w:ind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sz w:val="32"/>
          <w:szCs w:val="32"/>
          <w:lang w:val="en-US" w:eastAsia="zh-CN"/>
        </w:rPr>
        <w:t>（三）</w:t>
      </w:r>
      <w:r>
        <w:rPr>
          <w:rFonts w:hint="eastAsia" w:ascii="楷体_GB2312" w:hAnsi="楷体_GB2312" w:eastAsia="楷体_GB2312" w:cs="楷体_GB2312"/>
          <w:b/>
          <w:bCs/>
          <w:sz w:val="32"/>
          <w:szCs w:val="32"/>
          <w:lang w:eastAsia="zh-CN"/>
        </w:rPr>
        <w:t>政府信息管理情况。</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rPr>
        <w:t>我局结合自身实际情况，制定了《安康市行政审批服务局政务信息公开指南（2020年修订稿）》、《安康市行政审批服务局（政务中心）政府信息公开目录》、《安康市行政审批服务局政务新媒体管理制度（试行）》、《安康市行政审批服务局网站与政务新媒体协同联动工作制度》等一系列规章制度，着力健全完善确保行政权力公开透明运行的长效机制。</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lang w:eastAsia="zh-CN"/>
        </w:rPr>
        <w:t>严格落实各项制度，定期审查信息，对能进行公开的信息及时公布。严格信息发布流程，制定信息审核机制，保证信息发布准确及时。</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lang w:val="en-US" w:eastAsia="zh-CN"/>
        </w:rPr>
        <w:t>提升网上服务能力。制定印发《关于进一步推进市级政务服务事项网上办理工作的通知》，组织各部门依托安康智慧政务服务平台和部门自建网办系统，推进市级政务服务事项上网办理。市级787项依申请政务服务事项中，720项实现“网上可办”，占比达到91.36%。</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推进服务事项“最多跑一次”。梳理市级“最多跑一次”事项清单并在安康政务服务网公布。市政务大厅进驻事项中，166项事项能够“即来即办”，572项实现“最多跑一次”，143项实现“零跑路”。</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sz w:val="32"/>
          <w:szCs w:val="32"/>
          <w:lang w:val="en-US" w:eastAsia="zh-CN"/>
        </w:rPr>
        <w:t>推动市县两级政务服务中心上线政务服务“好差评”系统，在全省率先完成省市“好差评”系统数据对接上报，按照现场服务“一次一评”，网上服务“一事一评”，企业和群众每一次办理政务服务事项，均可进行一次评价，以真实有效的闭环评价体系倒逼服务水平提升。</w:t>
      </w:r>
    </w:p>
    <w:p>
      <w:pPr>
        <w:keepNext w:val="0"/>
        <w:keepLines w:val="0"/>
        <w:pageBreakBefore w:val="0"/>
        <w:widowControl/>
        <w:numPr>
          <w:ilvl w:val="0"/>
          <w:numId w:val="0"/>
        </w:numPr>
        <w:shd w:val="clear" w:color="auto" w:fill="FFFFFF"/>
        <w:kinsoku/>
        <w:wordWrap/>
        <w:overflowPunct/>
        <w:topLinePunct w:val="0"/>
        <w:autoSpaceDE/>
        <w:autoSpaceDN/>
        <w:bidi w:val="0"/>
        <w:snapToGrid w:val="0"/>
        <w:spacing w:beforeAutospacing="0" w:after="0" w:afterAutospacing="0" w:line="560" w:lineRule="exact"/>
        <w:ind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lang w:eastAsia="zh-CN"/>
        </w:rPr>
        <w:t>）平台建设情况。</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eastAsia="zh-CN"/>
        </w:rPr>
        <w:t>拓宽公开渠道、积极推进门户网站建设。</w:t>
      </w:r>
      <w:r>
        <w:rPr>
          <w:rFonts w:hint="eastAsia" w:ascii="仿宋_GB2312" w:hAnsi="仿宋_GB2312" w:eastAsia="仿宋_GB2312" w:cs="仿宋_GB2312"/>
          <w:sz w:val="32"/>
          <w:szCs w:val="32"/>
          <w:lang w:val="en-US" w:eastAsia="zh-CN"/>
        </w:rPr>
        <w:t>克服了人员少、时间紧、任务重等困难，于今年3月推进门户网站上线，共设立7个主频道，29个栏目。</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开发“安新办”政务服务平台。创新研发“安新办”政务服务平台，构建自然人、法人、工程建设项目审批全生命周期体系，以“树状图”形式为企业群众提供形象生动、条理清晰、直观易懂的咨询引导服务。</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全面推广全省统一电子交易平台，逐步实现交易流程电子化，不断提升场地服务管理水平，促进公开公平和阳光透明交易。公共资源交易平台及时向社会公开项目、交易公告、开评标和结果公示等信息17792条。</w:t>
      </w:r>
    </w:p>
    <w:p>
      <w:pPr>
        <w:keepNext w:val="0"/>
        <w:keepLines w:val="0"/>
        <w:pageBreakBefore w:val="0"/>
        <w:widowControl/>
        <w:numPr>
          <w:ilvl w:val="0"/>
          <w:numId w:val="0"/>
        </w:numPr>
        <w:shd w:val="clear" w:color="auto" w:fill="FFFFFF"/>
        <w:kinsoku/>
        <w:wordWrap/>
        <w:overflowPunct/>
        <w:topLinePunct w:val="0"/>
        <w:autoSpaceDE/>
        <w:autoSpaceDN/>
        <w:bidi w:val="0"/>
        <w:snapToGrid w:val="0"/>
        <w:spacing w:beforeAutospacing="0" w:after="0" w:afterAutospacing="0" w:line="560" w:lineRule="exact"/>
        <w:ind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lang w:eastAsia="zh-CN"/>
        </w:rPr>
        <w:t>）监督保障情况</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rPr>
        <w:t>我局领导高度重视政府信息和政务公开工作，切实加强领导，与业务工作同部署、同推进、同落实。</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由主要负责人任组长，分管负责人任副组长，各科室负责人为小组成员，定期安排政务公开工作。在日常工作中，由</w:t>
      </w:r>
      <w:r>
        <w:rPr>
          <w:rFonts w:hint="eastAsia" w:ascii="仿宋_GB2312" w:hAnsi="仿宋_GB2312" w:eastAsia="仿宋_GB2312" w:cs="仿宋_GB2312"/>
          <w:sz w:val="32"/>
          <w:szCs w:val="32"/>
          <w:lang w:eastAsia="zh-CN"/>
        </w:rPr>
        <w:t>政务公开科</w:t>
      </w:r>
      <w:r>
        <w:rPr>
          <w:rFonts w:hint="eastAsia" w:ascii="仿宋_GB2312" w:hAnsi="仿宋_GB2312" w:eastAsia="仿宋_GB2312" w:cs="仿宋_GB2312"/>
          <w:sz w:val="32"/>
          <w:szCs w:val="32"/>
        </w:rPr>
        <w:t>负责政务公开工作任务的部署、日常的督导等各个环节的总协调；分管领导负责所有业务信息发布的组织、审核，重要信息公开内容由主要负责人亲自把关，形成了一级抓一级、层层抓落实的责任体系。</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lang w:eastAsia="zh-CN"/>
        </w:rPr>
        <w:t>认真贯彻落实新修订的《中华人民共和国政府信息公开条例》，按照市政府办政务公开考核工作部署，积极对照考核指标进行自查，及时落实整改，顺利完成</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年政务公开考核工作。</w:t>
      </w:r>
    </w:p>
    <w:p>
      <w:pPr>
        <w:keepNext w:val="0"/>
        <w:keepLines w:val="0"/>
        <w:pageBreakBefore w:val="0"/>
        <w:widowControl/>
        <w:shd w:val="clear" w:color="auto" w:fill="FFFFFF"/>
        <w:kinsoku/>
        <w:wordWrap/>
        <w:overflowPunct/>
        <w:topLinePunct w:val="0"/>
        <w:autoSpaceDE/>
        <w:autoSpaceDN/>
        <w:bidi w:val="0"/>
        <w:spacing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二、主动公开政府信息情况</w:t>
      </w:r>
    </w:p>
    <w:tbl>
      <w:tblPr>
        <w:tblStyle w:val="6"/>
        <w:tblW w:w="8680" w:type="dxa"/>
        <w:tblInd w:w="0" w:type="dxa"/>
        <w:shd w:val="clear" w:color="auto" w:fill="auto"/>
        <w:tblLayout w:type="autofit"/>
        <w:tblCellMar>
          <w:top w:w="0" w:type="dxa"/>
          <w:left w:w="0" w:type="dxa"/>
          <w:bottom w:w="0" w:type="dxa"/>
          <w:right w:w="0" w:type="dxa"/>
        </w:tblCellMar>
      </w:tblPr>
      <w:tblGrid>
        <w:gridCol w:w="2790"/>
        <w:gridCol w:w="1963"/>
        <w:gridCol w:w="1963"/>
        <w:gridCol w:w="1964"/>
      </w:tblGrid>
      <w:tr>
        <w:tblPrEx>
          <w:shd w:val="clear" w:color="auto" w:fill="auto"/>
          <w:tblCellMar>
            <w:top w:w="0" w:type="dxa"/>
            <w:left w:w="0" w:type="dxa"/>
            <w:bottom w:w="0" w:type="dxa"/>
            <w:right w:w="0" w:type="dxa"/>
          </w:tblCellMar>
        </w:tblPrEx>
        <w:trPr>
          <w:trHeight w:val="685" w:hRule="atLeast"/>
        </w:trPr>
        <w:tc>
          <w:tcPr>
            <w:tcW w:w="8680" w:type="dxa"/>
            <w:gridSpan w:val="4"/>
            <w:tcBorders>
              <w:top w:val="nil"/>
              <w:left w:val="nil"/>
              <w:bottom w:val="nil"/>
              <w:right w:val="nil"/>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主动公开政府信息情况</w:t>
            </w:r>
          </w:p>
        </w:tc>
      </w:tr>
      <w:tr>
        <w:tblPrEx>
          <w:shd w:val="clear" w:color="auto" w:fill="auto"/>
          <w:tblCellMar>
            <w:top w:w="0" w:type="dxa"/>
            <w:left w:w="0" w:type="dxa"/>
            <w:bottom w:w="0" w:type="dxa"/>
            <w:right w:w="0" w:type="dxa"/>
          </w:tblCellMar>
        </w:tblPrEx>
        <w:trPr>
          <w:trHeight w:val="78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第二十条第（一）项</w:t>
            </w:r>
          </w:p>
        </w:tc>
      </w:tr>
      <w:tr>
        <w:tblPrEx>
          <w:shd w:val="clear" w:color="auto" w:fill="auto"/>
          <w:tblCellMar>
            <w:top w:w="0" w:type="dxa"/>
            <w:left w:w="0" w:type="dxa"/>
            <w:bottom w:w="0" w:type="dxa"/>
            <w:right w:w="0" w:type="dxa"/>
          </w:tblCellMar>
        </w:tblPrEx>
        <w:trPr>
          <w:trHeight w:val="65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信息内容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本年新制作数量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本年新公开数量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对外公开总数量</w:t>
            </w:r>
          </w:p>
        </w:tc>
      </w:tr>
      <w:tr>
        <w:tblPrEx>
          <w:tblCellMar>
            <w:top w:w="0" w:type="dxa"/>
            <w:left w:w="0" w:type="dxa"/>
            <w:bottom w:w="0" w:type="dxa"/>
            <w:right w:w="0" w:type="dxa"/>
          </w:tblCellMar>
        </w:tblPrEx>
        <w:trPr>
          <w:trHeight w:val="11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规章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0</w:t>
            </w:r>
          </w:p>
        </w:tc>
      </w:tr>
      <w:tr>
        <w:tblPrEx>
          <w:shd w:val="clear" w:color="auto" w:fill="auto"/>
          <w:tblCellMar>
            <w:top w:w="0" w:type="dxa"/>
            <w:left w:w="0" w:type="dxa"/>
            <w:bottom w:w="0" w:type="dxa"/>
            <w:right w:w="0" w:type="dxa"/>
          </w:tblCellMar>
        </w:tblPrEx>
        <w:trPr>
          <w:trHeight w:val="11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规范性文件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0</w:t>
            </w:r>
          </w:p>
        </w:tc>
      </w:tr>
      <w:tr>
        <w:tblPrEx>
          <w:shd w:val="clear" w:color="auto" w:fill="auto"/>
          <w:tblCellMar>
            <w:top w:w="0" w:type="dxa"/>
            <w:left w:w="0" w:type="dxa"/>
            <w:bottom w:w="0" w:type="dxa"/>
            <w:right w:w="0" w:type="dxa"/>
          </w:tblCellMar>
        </w:tblPrEx>
        <w:trPr>
          <w:trHeight w:val="75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第二十条第（五）项</w:t>
            </w:r>
          </w:p>
        </w:tc>
      </w:tr>
      <w:tr>
        <w:tblPrEx>
          <w:shd w:val="clear" w:color="auto" w:fill="auto"/>
          <w:tblCellMar>
            <w:top w:w="0" w:type="dxa"/>
            <w:left w:w="0" w:type="dxa"/>
            <w:bottom w:w="0" w:type="dxa"/>
            <w:right w:w="0"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信息内容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上一年项目数量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本年增/减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处理决定数量</w:t>
            </w:r>
          </w:p>
        </w:tc>
      </w:tr>
      <w:tr>
        <w:tblPrEx>
          <w:tblCellMar>
            <w:top w:w="0" w:type="dxa"/>
            <w:left w:w="0" w:type="dxa"/>
            <w:bottom w:w="0" w:type="dxa"/>
            <w:right w:w="0" w:type="dxa"/>
          </w:tblCellMar>
        </w:tblPrEx>
        <w:trPr>
          <w:trHeight w:val="11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line="560" w:lineRule="exact"/>
              <w:jc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line="560" w:lineRule="exact"/>
              <w:jc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+57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line="560" w:lineRule="exact"/>
              <w:jc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5113</w:t>
            </w:r>
          </w:p>
        </w:tc>
      </w:tr>
      <w:tr>
        <w:tblPrEx>
          <w:tblCellMar>
            <w:top w:w="0" w:type="dxa"/>
            <w:left w:w="0" w:type="dxa"/>
            <w:bottom w:w="0" w:type="dxa"/>
            <w:right w:w="0" w:type="dxa"/>
          </w:tblCellMar>
        </w:tblPrEx>
        <w:trPr>
          <w:trHeight w:val="11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其他对外管理服务事项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line="560" w:lineRule="exact"/>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line="560" w:lineRule="exact"/>
              <w:jc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val="0"/>
              <w:snapToGrid w:val="0"/>
              <w:spacing w:after="0" w:line="560" w:lineRule="exact"/>
              <w:jc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1375</w:t>
            </w:r>
          </w:p>
        </w:tc>
      </w:tr>
      <w:tr>
        <w:tblPrEx>
          <w:shd w:val="clear" w:color="auto" w:fill="auto"/>
          <w:tblCellMar>
            <w:top w:w="0" w:type="dxa"/>
            <w:left w:w="0" w:type="dxa"/>
            <w:bottom w:w="0" w:type="dxa"/>
            <w:right w:w="0" w:type="dxa"/>
          </w:tblCellMar>
        </w:tblPrEx>
        <w:trPr>
          <w:trHeight w:val="11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第二十条第（六）项</w:t>
            </w:r>
          </w:p>
        </w:tc>
      </w:tr>
      <w:tr>
        <w:tblPrEx>
          <w:shd w:val="clear" w:color="auto" w:fill="auto"/>
          <w:tblCellMar>
            <w:top w:w="0" w:type="dxa"/>
            <w:left w:w="0" w:type="dxa"/>
            <w:bottom w:w="0" w:type="dxa"/>
            <w:right w:w="0" w:type="dxa"/>
          </w:tblCellMar>
        </w:tblPrEx>
        <w:trPr>
          <w:cantSplit/>
          <w:trHeight w:val="6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信息内容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上一年项目数量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本年增/减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处理决定数量</w:t>
            </w:r>
          </w:p>
        </w:tc>
      </w:tr>
      <w:tr>
        <w:tblPrEx>
          <w:shd w:val="clear" w:color="auto" w:fill="auto"/>
          <w:tblCellMar>
            <w:top w:w="0" w:type="dxa"/>
            <w:left w:w="0" w:type="dxa"/>
            <w:bottom w:w="0" w:type="dxa"/>
            <w:right w:w="0" w:type="dxa"/>
          </w:tblCellMar>
        </w:tblPrEx>
        <w:trPr>
          <w:trHeight w:val="11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11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行政强制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11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第二十条第（八）项</w:t>
            </w:r>
          </w:p>
        </w:tc>
      </w:tr>
      <w:tr>
        <w:tblPrEx>
          <w:tblCellMar>
            <w:top w:w="0" w:type="dxa"/>
            <w:left w:w="0" w:type="dxa"/>
            <w:bottom w:w="0" w:type="dxa"/>
            <w:right w:w="0" w:type="dxa"/>
          </w:tblCellMar>
        </w:tblPrEx>
        <w:trPr>
          <w:trHeight w:val="11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信息内容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上一年项目数量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本年增/减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6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行政事业性收费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685"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第二十条第（九）项</w:t>
            </w:r>
          </w:p>
        </w:tc>
      </w:tr>
      <w:tr>
        <w:tblPrEx>
          <w:shd w:val="clear" w:color="auto" w:fill="auto"/>
          <w:tblCellMar>
            <w:top w:w="0" w:type="dxa"/>
            <w:left w:w="0" w:type="dxa"/>
            <w:bottom w:w="0" w:type="dxa"/>
            <w:right w:w="0"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信息内容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采购项目数量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采购总金额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1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政府集中采购</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560" w:lineRule="exact"/>
              <w:jc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40.35万元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bidi w:val="0"/>
              <w:jc w:val="left"/>
              <w:rPr>
                <w:rFonts w:hint="eastAsia" w:ascii="Tahoma" w:hAnsi="Tahoma" w:eastAsia="微软雅黑" w:cstheme="minorBidi"/>
                <w:sz w:val="22"/>
                <w:szCs w:val="22"/>
                <w:lang w:val="en-US" w:eastAsia="zh-CN" w:bidi="ar-SA"/>
              </w:rPr>
            </w:pPr>
          </w:p>
        </w:tc>
      </w:tr>
    </w:tbl>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收到和处理政府信息公开申请情况</w:t>
      </w:r>
    </w:p>
    <w:tbl>
      <w:tblPr>
        <w:tblStyle w:val="6"/>
        <w:tblW w:w="8976" w:type="dxa"/>
        <w:tblInd w:w="0" w:type="dxa"/>
        <w:shd w:val="clear" w:color="auto" w:fill="auto"/>
        <w:tblLayout w:type="fixed"/>
        <w:tblCellMar>
          <w:top w:w="0" w:type="dxa"/>
          <w:left w:w="0" w:type="dxa"/>
          <w:bottom w:w="0" w:type="dxa"/>
          <w:right w:w="0" w:type="dxa"/>
        </w:tblCellMar>
      </w:tblPr>
      <w:tblGrid>
        <w:gridCol w:w="1807"/>
        <w:gridCol w:w="1735"/>
        <w:gridCol w:w="1736"/>
        <w:gridCol w:w="540"/>
        <w:gridCol w:w="615"/>
        <w:gridCol w:w="540"/>
        <w:gridCol w:w="540"/>
        <w:gridCol w:w="525"/>
        <w:gridCol w:w="410"/>
        <w:gridCol w:w="528"/>
      </w:tblGrid>
      <w:tr>
        <w:tblPrEx>
          <w:shd w:val="clear" w:color="auto" w:fill="auto"/>
          <w:tblCellMar>
            <w:top w:w="0" w:type="dxa"/>
            <w:left w:w="0" w:type="dxa"/>
            <w:bottom w:w="0" w:type="dxa"/>
            <w:right w:w="0" w:type="dxa"/>
          </w:tblCellMar>
        </w:tblPrEx>
        <w:trPr>
          <w:trHeight w:val="1025" w:hRule="atLeast"/>
        </w:trPr>
        <w:tc>
          <w:tcPr>
            <w:tcW w:w="8976"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8"/>
                <w:szCs w:val="28"/>
                <w:u w:val="none"/>
                <w:lang w:val="en-US" w:eastAsia="zh-CN" w:bidi="ar"/>
              </w:rPr>
              <w:t>收到和处理政府信息公开申请情况</w:t>
            </w:r>
          </w:p>
        </w:tc>
      </w:tr>
      <w:tr>
        <w:tblPrEx>
          <w:shd w:val="clear" w:color="auto" w:fill="auto"/>
          <w:tblCellMar>
            <w:top w:w="0" w:type="dxa"/>
            <w:left w:w="0" w:type="dxa"/>
            <w:bottom w:w="0" w:type="dxa"/>
            <w:right w:w="0" w:type="dxa"/>
          </w:tblCellMar>
        </w:tblPrEx>
        <w:trPr>
          <w:trHeight w:val="498" w:hRule="atLeast"/>
        </w:trPr>
        <w:tc>
          <w:tcPr>
            <w:tcW w:w="527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（本列数据的勾稽关系为：第一项加第二项之和，等于第三项加第四项之和）</w:t>
            </w:r>
          </w:p>
        </w:tc>
        <w:tc>
          <w:tcPr>
            <w:tcW w:w="369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申请人情况</w:t>
            </w:r>
          </w:p>
        </w:tc>
      </w:tr>
      <w:tr>
        <w:tblPrEx>
          <w:tblCellMar>
            <w:top w:w="0" w:type="dxa"/>
            <w:left w:w="0" w:type="dxa"/>
            <w:bottom w:w="0" w:type="dxa"/>
            <w:right w:w="0" w:type="dxa"/>
          </w:tblCellMar>
        </w:tblPrEx>
        <w:trPr>
          <w:trHeight w:val="519" w:hRule="atLeast"/>
        </w:trPr>
        <w:tc>
          <w:tcPr>
            <w:tcW w:w="52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jc w:val="left"/>
              <w:rPr>
                <w:rFonts w:hint="eastAsia" w:ascii="仿宋" w:hAnsi="仿宋" w:eastAsia="仿宋" w:cs="仿宋"/>
                <w:i w:val="0"/>
                <w:color w:val="000000"/>
                <w:sz w:val="24"/>
                <w:szCs w:val="24"/>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自然人</w:t>
            </w:r>
          </w:p>
        </w:tc>
        <w:tc>
          <w:tcPr>
            <w:tcW w:w="263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法人或其他组织</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总计</w:t>
            </w:r>
          </w:p>
        </w:tc>
      </w:tr>
      <w:tr>
        <w:tblPrEx>
          <w:shd w:val="clear" w:color="auto" w:fill="auto"/>
          <w:tblCellMar>
            <w:top w:w="0" w:type="dxa"/>
            <w:left w:w="0" w:type="dxa"/>
            <w:bottom w:w="0" w:type="dxa"/>
            <w:right w:w="0" w:type="dxa"/>
          </w:tblCellMar>
        </w:tblPrEx>
        <w:trPr>
          <w:trHeight w:val="1445" w:hRule="atLeast"/>
        </w:trPr>
        <w:tc>
          <w:tcPr>
            <w:tcW w:w="52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jc w:val="left"/>
              <w:rPr>
                <w:rFonts w:hint="eastAsia" w:ascii="仿宋" w:hAnsi="仿宋" w:eastAsia="仿宋" w:cs="仿宋"/>
                <w:i w:val="0"/>
                <w:color w:val="000000"/>
                <w:sz w:val="24"/>
                <w:szCs w:val="24"/>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jc w:val="center"/>
              <w:rPr>
                <w:rFonts w:hint="eastAsia" w:ascii="仿宋" w:hAnsi="仿宋" w:eastAsia="仿宋" w:cs="仿宋"/>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商业</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企业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科研</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机构</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公益</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组织</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法律</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服务</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机构</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w:t>
            </w: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jc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715" w:hRule="atLeast"/>
        </w:trPr>
        <w:tc>
          <w:tcPr>
            <w:tcW w:w="527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一、本年新收政府信息公开申请数量</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547" w:hRule="atLeast"/>
        </w:trPr>
        <w:tc>
          <w:tcPr>
            <w:tcW w:w="527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二、上年结转政府信息公开申请数量</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547" w:hRule="atLeast"/>
        </w:trPr>
        <w:tc>
          <w:tcPr>
            <w:tcW w:w="18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三、本年度办理结果</w:t>
            </w:r>
          </w:p>
        </w:tc>
        <w:tc>
          <w:tcPr>
            <w:tcW w:w="347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（一）予以公开</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750"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rPr>
                <w:rFonts w:hint="eastAsia" w:ascii="仿宋" w:hAnsi="仿宋" w:eastAsia="仿宋" w:cs="仿宋"/>
                <w:i w:val="0"/>
                <w:color w:val="000000"/>
                <w:sz w:val="24"/>
                <w:szCs w:val="24"/>
                <w:u w:val="none"/>
              </w:rPr>
            </w:pPr>
          </w:p>
        </w:tc>
        <w:tc>
          <w:tcPr>
            <w:tcW w:w="34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（二）部分公开（区分处理的，只计这一情形，不计其他情形）</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902"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rPr>
                <w:rFonts w:hint="eastAsia" w:ascii="仿宋" w:hAnsi="仿宋" w:eastAsia="仿宋" w:cs="仿宋"/>
                <w:i w:val="0"/>
                <w:color w:val="000000"/>
                <w:sz w:val="24"/>
                <w:szCs w:val="24"/>
                <w:u w:val="none"/>
              </w:rPr>
            </w:pPr>
          </w:p>
        </w:tc>
        <w:tc>
          <w:tcPr>
            <w:tcW w:w="1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val="0"/>
              <w:snapToGrid w:val="0"/>
              <w:spacing w:after="0" w:line="360" w:lineRule="atLeas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不予公开</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3"/>
              </w:numPr>
              <w:suppressLineNumbers w:val="0"/>
              <w:kinsoku/>
              <w:wordWrap/>
              <w:overflowPunct/>
              <w:topLinePunct w:val="0"/>
              <w:autoSpaceDE/>
              <w:autoSpaceDN/>
              <w:bidi w:val="0"/>
              <w:adjustRightInd w:val="0"/>
              <w:snapToGrid w:val="0"/>
              <w:spacing w:after="0" w:line="360" w:lineRule="atLeas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属于国家秘密</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738"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rPr>
                <w:rFonts w:hint="eastAsia" w:ascii="仿宋" w:hAnsi="仿宋" w:eastAsia="仿宋" w:cs="仿宋"/>
                <w:i w:val="0"/>
                <w:color w:val="000000"/>
                <w:sz w:val="24"/>
                <w:szCs w:val="24"/>
                <w:u w:val="none"/>
              </w:rPr>
            </w:pPr>
          </w:p>
        </w:tc>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rPr>
                <w:rFonts w:hint="eastAsia" w:ascii="仿宋" w:hAnsi="仿宋" w:eastAsia="仿宋" w:cs="仿宋"/>
                <w:i w:val="0"/>
                <w:color w:val="000000"/>
                <w:sz w:val="24"/>
                <w:szCs w:val="24"/>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2.其他法律行政法规禁止公开</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547"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rPr>
                <w:rFonts w:hint="eastAsia" w:ascii="仿宋" w:hAnsi="仿宋" w:eastAsia="仿宋" w:cs="仿宋"/>
                <w:i w:val="0"/>
                <w:color w:val="000000"/>
                <w:sz w:val="24"/>
                <w:szCs w:val="24"/>
                <w:u w:val="none"/>
              </w:rPr>
            </w:pPr>
          </w:p>
        </w:tc>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rPr>
                <w:rFonts w:hint="eastAsia" w:ascii="仿宋" w:hAnsi="仿宋" w:eastAsia="仿宋" w:cs="仿宋"/>
                <w:i w:val="0"/>
                <w:color w:val="000000"/>
                <w:sz w:val="24"/>
                <w:szCs w:val="24"/>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3.危及“三安全一稳定”</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547"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rPr>
                <w:rFonts w:hint="eastAsia" w:ascii="仿宋" w:hAnsi="仿宋" w:eastAsia="仿宋" w:cs="仿宋"/>
                <w:i w:val="0"/>
                <w:color w:val="000000"/>
                <w:sz w:val="24"/>
                <w:szCs w:val="24"/>
                <w:u w:val="none"/>
              </w:rPr>
            </w:pPr>
          </w:p>
        </w:tc>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rPr>
                <w:rFonts w:hint="eastAsia" w:ascii="仿宋" w:hAnsi="仿宋" w:eastAsia="仿宋" w:cs="仿宋"/>
                <w:i w:val="0"/>
                <w:color w:val="000000"/>
                <w:sz w:val="24"/>
                <w:szCs w:val="24"/>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4.保护第三方合法权益</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547"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rPr>
                <w:rFonts w:hint="eastAsia" w:ascii="仿宋" w:hAnsi="仿宋" w:eastAsia="仿宋" w:cs="仿宋"/>
                <w:i w:val="0"/>
                <w:color w:val="000000"/>
                <w:sz w:val="24"/>
                <w:szCs w:val="24"/>
                <w:u w:val="none"/>
              </w:rPr>
            </w:pPr>
          </w:p>
        </w:tc>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rPr>
                <w:rFonts w:hint="eastAsia" w:ascii="仿宋" w:hAnsi="仿宋" w:eastAsia="仿宋" w:cs="仿宋"/>
                <w:i w:val="0"/>
                <w:color w:val="000000"/>
                <w:sz w:val="24"/>
                <w:szCs w:val="24"/>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5.属于三类内部事务信息</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547"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rPr>
                <w:rFonts w:hint="eastAsia" w:ascii="仿宋" w:hAnsi="仿宋" w:eastAsia="仿宋" w:cs="仿宋"/>
                <w:i w:val="0"/>
                <w:color w:val="000000"/>
                <w:sz w:val="24"/>
                <w:szCs w:val="24"/>
                <w:u w:val="none"/>
              </w:rPr>
            </w:pPr>
          </w:p>
        </w:tc>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rPr>
                <w:rFonts w:hint="eastAsia" w:ascii="仿宋" w:hAnsi="仿宋" w:eastAsia="仿宋" w:cs="仿宋"/>
                <w:i w:val="0"/>
                <w:color w:val="000000"/>
                <w:sz w:val="24"/>
                <w:szCs w:val="24"/>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6.属于四类过程性信息</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547"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rPr>
                <w:rFonts w:hint="eastAsia" w:ascii="仿宋" w:hAnsi="仿宋" w:eastAsia="仿宋" w:cs="仿宋"/>
                <w:i w:val="0"/>
                <w:color w:val="000000"/>
                <w:sz w:val="24"/>
                <w:szCs w:val="24"/>
                <w:u w:val="none"/>
              </w:rPr>
            </w:pPr>
          </w:p>
        </w:tc>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rPr>
                <w:rFonts w:hint="eastAsia" w:ascii="仿宋" w:hAnsi="仿宋" w:eastAsia="仿宋" w:cs="仿宋"/>
                <w:i w:val="0"/>
                <w:color w:val="000000"/>
                <w:sz w:val="24"/>
                <w:szCs w:val="24"/>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7.属于行政执法案卷</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547"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rPr>
                <w:rFonts w:hint="eastAsia" w:ascii="仿宋" w:hAnsi="仿宋" w:eastAsia="仿宋" w:cs="仿宋"/>
                <w:i w:val="0"/>
                <w:color w:val="000000"/>
                <w:sz w:val="24"/>
                <w:szCs w:val="24"/>
                <w:u w:val="none"/>
              </w:rPr>
            </w:pPr>
          </w:p>
        </w:tc>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rPr>
                <w:rFonts w:hint="eastAsia" w:ascii="仿宋" w:hAnsi="仿宋" w:eastAsia="仿宋" w:cs="仿宋"/>
                <w:i w:val="0"/>
                <w:color w:val="000000"/>
                <w:sz w:val="24"/>
                <w:szCs w:val="24"/>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8.属于行政查询事项</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738"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rPr>
                <w:rFonts w:hint="eastAsia" w:ascii="仿宋" w:hAnsi="仿宋" w:eastAsia="仿宋" w:cs="仿宋"/>
                <w:i w:val="0"/>
                <w:color w:val="000000"/>
                <w:sz w:val="24"/>
                <w:szCs w:val="24"/>
                <w:u w:val="none"/>
              </w:rPr>
            </w:pPr>
          </w:p>
        </w:tc>
        <w:tc>
          <w:tcPr>
            <w:tcW w:w="1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（四）无法提供</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1.本机关不掌握相关政府信息</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738"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rPr>
                <w:rFonts w:hint="eastAsia" w:ascii="仿宋" w:hAnsi="仿宋" w:eastAsia="仿宋" w:cs="仿宋"/>
                <w:i w:val="0"/>
                <w:color w:val="000000"/>
                <w:sz w:val="24"/>
                <w:szCs w:val="24"/>
                <w:u w:val="none"/>
              </w:rPr>
            </w:pPr>
          </w:p>
        </w:tc>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rPr>
                <w:rFonts w:hint="eastAsia" w:ascii="仿宋" w:hAnsi="仿宋" w:eastAsia="仿宋" w:cs="仿宋"/>
                <w:i w:val="0"/>
                <w:color w:val="000000"/>
                <w:sz w:val="24"/>
                <w:szCs w:val="24"/>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2.没有现成信息需要另行制作</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547"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rPr>
                <w:rFonts w:hint="eastAsia" w:ascii="仿宋" w:hAnsi="仿宋" w:eastAsia="仿宋" w:cs="仿宋"/>
                <w:i w:val="0"/>
                <w:color w:val="000000"/>
                <w:sz w:val="24"/>
                <w:szCs w:val="24"/>
                <w:u w:val="none"/>
              </w:rPr>
            </w:pPr>
          </w:p>
        </w:tc>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rPr>
                <w:rFonts w:hint="eastAsia" w:ascii="仿宋" w:hAnsi="仿宋" w:eastAsia="仿宋" w:cs="仿宋"/>
                <w:i w:val="0"/>
                <w:color w:val="000000"/>
                <w:sz w:val="24"/>
                <w:szCs w:val="24"/>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3.补正后申请内容仍不明确</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547"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rPr>
                <w:rFonts w:hint="eastAsia" w:ascii="仿宋" w:hAnsi="仿宋" w:eastAsia="仿宋" w:cs="仿宋"/>
                <w:i w:val="0"/>
                <w:color w:val="000000"/>
                <w:sz w:val="24"/>
                <w:szCs w:val="24"/>
                <w:u w:val="none"/>
              </w:rPr>
            </w:pPr>
          </w:p>
        </w:tc>
        <w:tc>
          <w:tcPr>
            <w:tcW w:w="1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（五）不予处理</w:t>
            </w: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1.信访举报投诉类申请</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547"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rPr>
                <w:rFonts w:hint="eastAsia" w:ascii="仿宋" w:hAnsi="仿宋" w:eastAsia="仿宋" w:cs="仿宋"/>
                <w:i w:val="0"/>
                <w:color w:val="000000"/>
                <w:sz w:val="24"/>
                <w:szCs w:val="24"/>
                <w:u w:val="none"/>
              </w:rPr>
            </w:pPr>
          </w:p>
        </w:tc>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rPr>
                <w:rFonts w:hint="eastAsia" w:ascii="仿宋" w:hAnsi="仿宋" w:eastAsia="仿宋" w:cs="仿宋"/>
                <w:i w:val="0"/>
                <w:color w:val="000000"/>
                <w:sz w:val="24"/>
                <w:szCs w:val="24"/>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2.重复申请</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547"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rPr>
                <w:rFonts w:hint="eastAsia" w:ascii="仿宋" w:hAnsi="仿宋" w:eastAsia="仿宋" w:cs="仿宋"/>
                <w:i w:val="0"/>
                <w:color w:val="000000"/>
                <w:sz w:val="24"/>
                <w:szCs w:val="24"/>
                <w:u w:val="none"/>
              </w:rPr>
            </w:pPr>
          </w:p>
        </w:tc>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rPr>
                <w:rFonts w:hint="eastAsia" w:ascii="仿宋" w:hAnsi="仿宋" w:eastAsia="仿宋" w:cs="仿宋"/>
                <w:i w:val="0"/>
                <w:color w:val="000000"/>
                <w:sz w:val="24"/>
                <w:szCs w:val="24"/>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3.要求提供公开出版物</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547"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rPr>
                <w:rFonts w:hint="eastAsia" w:ascii="仿宋" w:hAnsi="仿宋" w:eastAsia="仿宋" w:cs="仿宋"/>
                <w:i w:val="0"/>
                <w:color w:val="000000"/>
                <w:sz w:val="24"/>
                <w:szCs w:val="24"/>
                <w:u w:val="none"/>
              </w:rPr>
            </w:pPr>
          </w:p>
        </w:tc>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rPr>
                <w:rFonts w:hint="eastAsia" w:ascii="仿宋" w:hAnsi="仿宋" w:eastAsia="仿宋" w:cs="仿宋"/>
                <w:i w:val="0"/>
                <w:color w:val="000000"/>
                <w:sz w:val="24"/>
                <w:szCs w:val="24"/>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4.无正当理由大量反复申请</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750"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rPr>
                <w:rFonts w:hint="eastAsia" w:ascii="仿宋" w:hAnsi="仿宋" w:eastAsia="仿宋" w:cs="仿宋"/>
                <w:i w:val="0"/>
                <w:color w:val="000000"/>
                <w:sz w:val="24"/>
                <w:szCs w:val="24"/>
                <w:u w:val="none"/>
              </w:rPr>
            </w:pPr>
          </w:p>
        </w:tc>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rPr>
                <w:rFonts w:hint="eastAsia" w:ascii="仿宋" w:hAnsi="仿宋" w:eastAsia="仿宋" w:cs="仿宋"/>
                <w:i w:val="0"/>
                <w:color w:val="000000"/>
                <w:sz w:val="24"/>
                <w:szCs w:val="24"/>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5.要求行政机关确认或重新出具已获取信息</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515"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rPr>
                <w:rFonts w:hint="eastAsia" w:ascii="仿宋" w:hAnsi="仿宋" w:eastAsia="仿宋" w:cs="仿宋"/>
                <w:i w:val="0"/>
                <w:color w:val="000000"/>
                <w:sz w:val="24"/>
                <w:szCs w:val="24"/>
                <w:u w:val="none"/>
              </w:rPr>
            </w:pPr>
          </w:p>
        </w:tc>
        <w:tc>
          <w:tcPr>
            <w:tcW w:w="347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（六）其他处理</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717" w:hRule="atLeast"/>
        </w:trPr>
        <w:tc>
          <w:tcPr>
            <w:tcW w:w="18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after="0" w:line="360" w:lineRule="atLeast"/>
              <w:rPr>
                <w:rFonts w:hint="eastAsia" w:ascii="仿宋" w:hAnsi="仿宋" w:eastAsia="仿宋" w:cs="仿宋"/>
                <w:i w:val="0"/>
                <w:color w:val="000000"/>
                <w:sz w:val="24"/>
                <w:szCs w:val="24"/>
                <w:u w:val="none"/>
              </w:rPr>
            </w:pPr>
          </w:p>
        </w:tc>
        <w:tc>
          <w:tcPr>
            <w:tcW w:w="347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（七）总计</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60" w:lineRule="atLeast"/>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r>
    </w:tbl>
    <w:p>
      <w:pPr>
        <w:keepNext w:val="0"/>
        <w:keepLines w:val="0"/>
        <w:pageBreakBefore w:val="0"/>
        <w:widowControl/>
        <w:numPr>
          <w:ilvl w:val="0"/>
          <w:numId w:val="4"/>
        </w:numPr>
        <w:shd w:val="clear" w:color="auto" w:fill="FFFFFF"/>
        <w:kinsoku/>
        <w:wordWrap/>
        <w:overflowPunct/>
        <w:topLinePunct w:val="0"/>
        <w:autoSpaceDE/>
        <w:autoSpaceDN/>
        <w:bidi w:val="0"/>
        <w:adjustRightInd w:val="0"/>
        <w:snapToGrid w:val="0"/>
        <w:spacing w:after="0" w:line="56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政府信息公开行政复议、行政诉讼情况</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after="0" w:line="560" w:lineRule="exact"/>
        <w:ind w:firstLine="1680" w:firstLineChars="600"/>
        <w:jc w:val="both"/>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28"/>
          <w:szCs w:val="28"/>
          <w:u w:val="none"/>
          <w:lang w:val="en-US" w:eastAsia="zh-CN" w:bidi="ar"/>
        </w:rPr>
        <w:t>政府信息公开行政复议、行政诉讼情况</w:t>
      </w:r>
    </w:p>
    <w:tbl>
      <w:tblPr>
        <w:tblStyle w:val="6"/>
        <w:tblW w:w="8999" w:type="dxa"/>
        <w:jc w:val="center"/>
        <w:shd w:val="clear" w:color="auto" w:fill="auto"/>
        <w:tblLayout w:type="autofit"/>
        <w:tblCellMar>
          <w:top w:w="0" w:type="dxa"/>
          <w:left w:w="0" w:type="dxa"/>
          <w:bottom w:w="0" w:type="dxa"/>
          <w:right w:w="0" w:type="dxa"/>
        </w:tblCellMar>
      </w:tblPr>
      <w:tblGrid>
        <w:gridCol w:w="627"/>
        <w:gridCol w:w="628"/>
        <w:gridCol w:w="628"/>
        <w:gridCol w:w="628"/>
        <w:gridCol w:w="389"/>
        <w:gridCol w:w="693"/>
        <w:gridCol w:w="693"/>
        <w:gridCol w:w="693"/>
        <w:gridCol w:w="693"/>
        <w:gridCol w:w="430"/>
        <w:gridCol w:w="626"/>
        <w:gridCol w:w="626"/>
        <w:gridCol w:w="628"/>
        <w:gridCol w:w="628"/>
        <w:gridCol w:w="389"/>
      </w:tblGrid>
      <w:tr>
        <w:tblPrEx>
          <w:shd w:val="clear" w:color="auto" w:fill="auto"/>
          <w:tblCellMar>
            <w:top w:w="0" w:type="dxa"/>
            <w:left w:w="0" w:type="dxa"/>
            <w:bottom w:w="0" w:type="dxa"/>
            <w:right w:w="0" w:type="dxa"/>
          </w:tblCellMar>
        </w:tblPrEx>
        <w:trPr>
          <w:trHeight w:val="755"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行政复议</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行政诉讼</w:t>
            </w:r>
          </w:p>
        </w:tc>
      </w:tr>
      <w:tr>
        <w:tblPrEx>
          <w:shd w:val="clear" w:color="auto" w:fill="auto"/>
        </w:tblPrEx>
        <w:trPr>
          <w:trHeight w:val="1085"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结果维持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结果纠正</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其他结果</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尚未审结</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总计</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未经复议直接起诉</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复议后起诉</w:t>
            </w:r>
          </w:p>
        </w:tc>
      </w:tr>
      <w:tr>
        <w:tblPrEx>
          <w:tblCellMar>
            <w:top w:w="0" w:type="dxa"/>
            <w:left w:w="0" w:type="dxa"/>
            <w:bottom w:w="0" w:type="dxa"/>
            <w:right w:w="0" w:type="dxa"/>
          </w:tblCellMar>
        </w:tblPrEx>
        <w:trPr>
          <w:trHeight w:val="123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结果维持</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结果纠正</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其他结果</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尚未审结</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总计</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结果维持</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结果纠正</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其他结果</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尚未审结</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总计</w:t>
            </w:r>
          </w:p>
        </w:tc>
      </w:tr>
      <w:tr>
        <w:tblPrEx>
          <w:shd w:val="clear" w:color="auto" w:fill="auto"/>
          <w:tblCellMar>
            <w:top w:w="0" w:type="dxa"/>
            <w:left w:w="0" w:type="dxa"/>
            <w:bottom w:w="0" w:type="dxa"/>
            <w:right w:w="0" w:type="dxa"/>
          </w:tblCellMar>
        </w:tblPrEx>
        <w:trPr>
          <w:trHeight w:val="110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r>
    </w:tbl>
    <w:p>
      <w:pPr>
        <w:keepNext w:val="0"/>
        <w:keepLines w:val="0"/>
        <w:pageBreakBefore w:val="0"/>
        <w:widowControl/>
        <w:shd w:val="clear" w:color="auto" w:fill="FFFFFF"/>
        <w:kinsoku/>
        <w:wordWrap/>
        <w:overflowPunct/>
        <w:topLinePunct w:val="0"/>
        <w:autoSpaceDE/>
        <w:autoSpaceDN/>
        <w:bidi w:val="0"/>
        <w:spacing w:beforeAutospacing="0" w:after="0"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存在问题及改进措施</w:t>
      </w:r>
    </w:p>
    <w:p>
      <w:pPr>
        <w:keepNext w:val="0"/>
        <w:keepLines w:val="0"/>
        <w:pageBreakBefore w:val="0"/>
        <w:widowControl/>
        <w:shd w:val="clear" w:color="auto" w:fill="FFFFFF"/>
        <w:kinsoku/>
        <w:wordWrap/>
        <w:overflowPunct/>
        <w:topLinePunct w:val="0"/>
        <w:autoSpaceDE/>
        <w:autoSpaceDN/>
        <w:bidi w:val="0"/>
        <w:spacing w:beforeAutospacing="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2020年，我局政府信息公开工作虽然取得了一定进展，但与</w:t>
      </w:r>
      <w:r>
        <w:rPr>
          <w:rFonts w:hint="eastAsia" w:ascii="仿宋_GB2312" w:hAnsi="仿宋_GB2312" w:eastAsia="仿宋_GB2312" w:cs="仿宋_GB2312"/>
          <w:sz w:val="32"/>
          <w:szCs w:val="32"/>
          <w:lang w:eastAsia="zh-CN"/>
        </w:rPr>
        <w:t>市委市政府</w:t>
      </w:r>
      <w:r>
        <w:rPr>
          <w:rFonts w:hint="eastAsia" w:ascii="仿宋_GB2312" w:hAnsi="仿宋_GB2312" w:eastAsia="仿宋_GB2312" w:cs="仿宋_GB2312"/>
          <w:sz w:val="32"/>
          <w:szCs w:val="32"/>
        </w:rPr>
        <w:t>的要求和企业群众的需求还有一定差距。一是思想认识不深刻。相关工作人员对政务公开工作重要性的认识有待进一步提高，对《条例》的把握还不够全面，对依申请公开范围的界定和信息公开范围的把握不深</w:t>
      </w:r>
      <w:r>
        <w:rPr>
          <w:rFonts w:hint="eastAsia" w:ascii="仿宋_GB2312" w:hAnsi="仿宋_GB2312" w:eastAsia="仿宋_GB2312" w:cs="仿宋_GB2312"/>
          <w:sz w:val="32"/>
          <w:szCs w:val="32"/>
          <w:lang w:eastAsia="zh-CN"/>
        </w:rPr>
        <w:t>。二是政策解读内容少，形式单一。政策解读转载上级解读内容较多，解读本级政策相对较少，缺少图片、图表、音频、视频形式的解读，解读形式有待加强。</w:t>
      </w:r>
    </w:p>
    <w:p>
      <w:pPr>
        <w:keepNext w:val="0"/>
        <w:keepLines w:val="0"/>
        <w:pageBreakBefore w:val="0"/>
        <w:widowControl/>
        <w:shd w:val="clear" w:color="auto" w:fill="FFFFFF"/>
        <w:kinsoku/>
        <w:wordWrap/>
        <w:overflowPunct/>
        <w:topLinePunct w:val="0"/>
        <w:autoSpaceDE/>
        <w:autoSpaceDN/>
        <w:bidi w:val="0"/>
        <w:spacing w:beforeAutospacing="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我局将严格按照上级政务公开的要求，纵深推进我局政府信息公开工作。一是拓展公开内容。立足单位职能职责，深入了解企业和群众对政务服务的需求和期盼，积极探索公开内容的多样化，加大“放管服”改革、行政许可相对集中改革、创建一流营商环境和政务服务监管等政府信息的主动公开。二是提升公开载体。围绕深化“放管服”改革和转变政府职能，积极探索将政务公开与政务服务有机融合，进一步强化“互联网＋政务服务”。三是强化公开制度。进一步健全政府信息公开制度和机制，优化公开指南和目录，持续强化信息公开的深度和广度，主动适应政务公开新形势新需求新变化，为服务</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经济社会发展，满足社会公众需求提供有力的保障。</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Autospacing="0" w:after="0"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其他需要报告的事项</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0" w:line="560" w:lineRule="exact"/>
        <w:ind w:firstLine="640" w:firstLineChars="200"/>
        <w:jc w:val="both"/>
        <w:textAlignment w:val="auto"/>
        <w:rPr>
          <w:rFonts w:hint="eastAsia" w:ascii="仿宋_GB2312" w:hAnsi="仿宋_GB2312" w:eastAsia="仿宋_GB2312" w:cs="仿宋_GB2312"/>
          <w:sz w:val="32"/>
          <w:szCs w:val="32"/>
          <w:lang w:eastAsia="zh-CN"/>
        </w:rPr>
      </w:pPr>
    </w:p>
    <w:sectPr>
      <w:footerReference r:id="rId3" w:type="default"/>
      <w:pgSz w:w="11906" w:h="16838"/>
      <w:pgMar w:top="2098" w:right="1474" w:bottom="1984" w:left="1587" w:header="708" w:footer="709" w:gutter="0"/>
      <w:pgNumType w:fmt="numberInDash"/>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-107315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8.45pt;height:144pt;width:144pt;mso-position-horizontal:outside;mso-position-horizontal-relative:margin;mso-wrap-style:none;z-index:251659264;mso-width-relative:page;mso-height-relative:page;" filled="f" stroked="f" coordsize="21600,21600" o:gfxdata="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pZHSXVAAAACAEAAA8AAAAAAAAAAQAgAAAAIgAAAGRycy9kb3ducmV2LnhtbFBL&#10;AQIUABQAAAAIAIdO4kC6jDgrMgIAAGEEAAAOAAAAAAAAAAEAIAAAACQBAABkcnMvZTJvRG9jLnht&#10;bFBLBQYAAAAABgAGAFkBAADI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8CB1EA"/>
    <w:multiLevelType w:val="singleLevel"/>
    <w:tmpl w:val="F88CB1EA"/>
    <w:lvl w:ilvl="0" w:tentative="0">
      <w:start w:val="3"/>
      <w:numFmt w:val="chineseCounting"/>
      <w:suff w:val="nothing"/>
      <w:lvlText w:val="（%1）"/>
      <w:lvlJc w:val="left"/>
      <w:rPr>
        <w:rFonts w:hint="eastAsia"/>
      </w:rPr>
    </w:lvl>
  </w:abstractNum>
  <w:abstractNum w:abstractNumId="1">
    <w:nsid w:val="42F83286"/>
    <w:multiLevelType w:val="singleLevel"/>
    <w:tmpl w:val="42F83286"/>
    <w:lvl w:ilvl="0" w:tentative="0">
      <w:start w:val="1"/>
      <w:numFmt w:val="decimal"/>
      <w:lvlText w:val="%1."/>
      <w:lvlJc w:val="left"/>
      <w:pPr>
        <w:tabs>
          <w:tab w:val="left" w:pos="312"/>
        </w:tabs>
      </w:pPr>
    </w:lvl>
  </w:abstractNum>
  <w:abstractNum w:abstractNumId="2">
    <w:nsid w:val="58BF8966"/>
    <w:multiLevelType w:val="singleLevel"/>
    <w:tmpl w:val="58BF8966"/>
    <w:lvl w:ilvl="0" w:tentative="0">
      <w:start w:val="1"/>
      <w:numFmt w:val="chineseCounting"/>
      <w:suff w:val="nothing"/>
      <w:lvlText w:val="（%1）"/>
      <w:lvlJc w:val="left"/>
      <w:rPr>
        <w:rFonts w:hint="eastAsia"/>
      </w:rPr>
    </w:lvl>
  </w:abstractNum>
  <w:abstractNum w:abstractNumId="3">
    <w:nsid w:val="7F7B7246"/>
    <w:multiLevelType w:val="singleLevel"/>
    <w:tmpl w:val="7F7B7246"/>
    <w:lvl w:ilvl="0" w:tentative="0">
      <w:start w:val="4"/>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74D76"/>
    <w:rsid w:val="00161C75"/>
    <w:rsid w:val="00323B43"/>
    <w:rsid w:val="00347689"/>
    <w:rsid w:val="003A6BF5"/>
    <w:rsid w:val="003D37D8"/>
    <w:rsid w:val="00426133"/>
    <w:rsid w:val="004358AB"/>
    <w:rsid w:val="004749E5"/>
    <w:rsid w:val="00580FAC"/>
    <w:rsid w:val="005D6105"/>
    <w:rsid w:val="00603061"/>
    <w:rsid w:val="00652802"/>
    <w:rsid w:val="00724D26"/>
    <w:rsid w:val="00887FE4"/>
    <w:rsid w:val="008B7726"/>
    <w:rsid w:val="00906553"/>
    <w:rsid w:val="00991569"/>
    <w:rsid w:val="009A0C28"/>
    <w:rsid w:val="00A91A61"/>
    <w:rsid w:val="00B566CF"/>
    <w:rsid w:val="00B83CD5"/>
    <w:rsid w:val="00BF2485"/>
    <w:rsid w:val="00CB10C9"/>
    <w:rsid w:val="00D31D50"/>
    <w:rsid w:val="00D4762C"/>
    <w:rsid w:val="00DE1216"/>
    <w:rsid w:val="00E573F4"/>
    <w:rsid w:val="00F04E79"/>
    <w:rsid w:val="00F314A2"/>
    <w:rsid w:val="032D0442"/>
    <w:rsid w:val="039415D7"/>
    <w:rsid w:val="03E078D8"/>
    <w:rsid w:val="04B058B4"/>
    <w:rsid w:val="05B52934"/>
    <w:rsid w:val="08E6290F"/>
    <w:rsid w:val="09E17F0D"/>
    <w:rsid w:val="0A4B12F1"/>
    <w:rsid w:val="0A511C31"/>
    <w:rsid w:val="0B9302F4"/>
    <w:rsid w:val="0DB85531"/>
    <w:rsid w:val="0E573E71"/>
    <w:rsid w:val="0F807D5F"/>
    <w:rsid w:val="101E4C35"/>
    <w:rsid w:val="13225303"/>
    <w:rsid w:val="13E6669C"/>
    <w:rsid w:val="144852B7"/>
    <w:rsid w:val="16674621"/>
    <w:rsid w:val="16A47D61"/>
    <w:rsid w:val="17A565EA"/>
    <w:rsid w:val="1B2A4F73"/>
    <w:rsid w:val="1C1D3D8A"/>
    <w:rsid w:val="1F80324A"/>
    <w:rsid w:val="20B1326C"/>
    <w:rsid w:val="2182330A"/>
    <w:rsid w:val="24283CD7"/>
    <w:rsid w:val="24307706"/>
    <w:rsid w:val="264D76F0"/>
    <w:rsid w:val="26D676B4"/>
    <w:rsid w:val="27831945"/>
    <w:rsid w:val="27FA6BE1"/>
    <w:rsid w:val="28DB78FA"/>
    <w:rsid w:val="2A157536"/>
    <w:rsid w:val="2A2430B6"/>
    <w:rsid w:val="2E9D7A4F"/>
    <w:rsid w:val="2EC031AC"/>
    <w:rsid w:val="2F59276A"/>
    <w:rsid w:val="2FD212B4"/>
    <w:rsid w:val="31DB2835"/>
    <w:rsid w:val="33856D86"/>
    <w:rsid w:val="3436097B"/>
    <w:rsid w:val="34404BB5"/>
    <w:rsid w:val="344926C2"/>
    <w:rsid w:val="35592AC2"/>
    <w:rsid w:val="35D0035C"/>
    <w:rsid w:val="363B00C9"/>
    <w:rsid w:val="37F0576D"/>
    <w:rsid w:val="39116D77"/>
    <w:rsid w:val="39C14D18"/>
    <w:rsid w:val="3D1A036E"/>
    <w:rsid w:val="3EC31CB1"/>
    <w:rsid w:val="40417C4C"/>
    <w:rsid w:val="405B3749"/>
    <w:rsid w:val="45F1793F"/>
    <w:rsid w:val="46604EEE"/>
    <w:rsid w:val="47B2269C"/>
    <w:rsid w:val="48576B01"/>
    <w:rsid w:val="48703A23"/>
    <w:rsid w:val="48841F46"/>
    <w:rsid w:val="49FB6E81"/>
    <w:rsid w:val="49FE3894"/>
    <w:rsid w:val="4AB87A32"/>
    <w:rsid w:val="4CD77B58"/>
    <w:rsid w:val="4D912888"/>
    <w:rsid w:val="4E50312A"/>
    <w:rsid w:val="4EB16A17"/>
    <w:rsid w:val="4F6B2506"/>
    <w:rsid w:val="51233C0B"/>
    <w:rsid w:val="52614FBF"/>
    <w:rsid w:val="52C254C6"/>
    <w:rsid w:val="53607D9B"/>
    <w:rsid w:val="536F3E0F"/>
    <w:rsid w:val="54A6519C"/>
    <w:rsid w:val="54B47EB1"/>
    <w:rsid w:val="55823735"/>
    <w:rsid w:val="56F85340"/>
    <w:rsid w:val="57E57301"/>
    <w:rsid w:val="58D73D18"/>
    <w:rsid w:val="597C641A"/>
    <w:rsid w:val="5A0A72E2"/>
    <w:rsid w:val="5A1F078B"/>
    <w:rsid w:val="5C30759E"/>
    <w:rsid w:val="5C347C9C"/>
    <w:rsid w:val="5F3428F8"/>
    <w:rsid w:val="605D7A50"/>
    <w:rsid w:val="610C3EE4"/>
    <w:rsid w:val="62136199"/>
    <w:rsid w:val="6324151A"/>
    <w:rsid w:val="63A97881"/>
    <w:rsid w:val="63AA2795"/>
    <w:rsid w:val="646164FD"/>
    <w:rsid w:val="660A470B"/>
    <w:rsid w:val="67700FBB"/>
    <w:rsid w:val="689E592F"/>
    <w:rsid w:val="6B217F40"/>
    <w:rsid w:val="6C9B453C"/>
    <w:rsid w:val="6E0D1BB7"/>
    <w:rsid w:val="6E720CD4"/>
    <w:rsid w:val="6F821855"/>
    <w:rsid w:val="701A16B3"/>
    <w:rsid w:val="70821087"/>
    <w:rsid w:val="70E31599"/>
    <w:rsid w:val="717C033B"/>
    <w:rsid w:val="719F53A2"/>
    <w:rsid w:val="720F0017"/>
    <w:rsid w:val="723476C9"/>
    <w:rsid w:val="72767C80"/>
    <w:rsid w:val="72A40685"/>
    <w:rsid w:val="72B47928"/>
    <w:rsid w:val="7653394C"/>
    <w:rsid w:val="76914E27"/>
    <w:rsid w:val="774560DF"/>
    <w:rsid w:val="77CC6DB9"/>
    <w:rsid w:val="78D86E96"/>
    <w:rsid w:val="793A57F6"/>
    <w:rsid w:val="794B4B74"/>
    <w:rsid w:val="798E4900"/>
    <w:rsid w:val="79FD6A11"/>
    <w:rsid w:val="7BA2155F"/>
    <w:rsid w:val="7BA94E52"/>
    <w:rsid w:val="7C6B7603"/>
    <w:rsid w:val="7C7B2A2C"/>
    <w:rsid w:val="7E146AA9"/>
    <w:rsid w:val="7E1C0E02"/>
    <w:rsid w:val="7FAD68D3"/>
    <w:rsid w:val="7FCC2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5">
    <w:name w:val="Normal (Web)"/>
    <w:basedOn w:val="1"/>
    <w:unhideWhenUsed/>
    <w:qFormat/>
    <w:uiPriority w:val="99"/>
    <w:pPr>
      <w:adjustRightInd/>
      <w:snapToGrid/>
      <w:spacing w:before="100" w:beforeAutospacing="1" w:after="100" w:afterAutospacing="1" w:line="375" w:lineRule="atLeast"/>
    </w:pPr>
    <w:rPr>
      <w:rFonts w:ascii="宋体" w:hAnsi="宋体" w:eastAsia="宋体" w:cs="宋体"/>
      <w:sz w:val="21"/>
      <w:szCs w:val="21"/>
    </w:rPr>
  </w:style>
  <w:style w:type="character" w:customStyle="1" w:styleId="8">
    <w:name w:val="页眉 Char"/>
    <w:basedOn w:val="7"/>
    <w:link w:val="3"/>
    <w:semiHidden/>
    <w:qFormat/>
    <w:uiPriority w:val="99"/>
    <w:rPr>
      <w:rFonts w:ascii="Tahoma" w:hAnsi="Tahoma"/>
      <w:sz w:val="18"/>
      <w:szCs w:val="18"/>
    </w:rPr>
  </w:style>
  <w:style w:type="character" w:customStyle="1" w:styleId="9">
    <w:name w:val="页脚 Char"/>
    <w:basedOn w:val="7"/>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420</Words>
  <Characters>2395</Characters>
  <Lines>19</Lines>
  <Paragraphs>5</Paragraphs>
  <TotalTime>0</TotalTime>
  <ScaleCrop>false</ScaleCrop>
  <LinksUpToDate>false</LinksUpToDate>
  <CharactersWithSpaces>2810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刘子晨子晨晨晨ぃ</cp:lastModifiedBy>
  <cp:lastPrinted>2021-01-15T02:51:00Z</cp:lastPrinted>
  <dcterms:modified xsi:type="dcterms:W3CDTF">2021-01-21T01:44:00Z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